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 w:eastAsiaTheme="majorEastAsia"/>
          <w:sz w:val="36"/>
          <w:szCs w:val="36"/>
        </w:rPr>
      </w:pPr>
      <w:r>
        <w:rPr>
          <w:rFonts w:hint="eastAsia" w:ascii="Times New Roman" w:hAnsi="Times New Roman" w:cs="Times New Roman" w:eastAsiaTheme="majorEastAsia"/>
          <w:sz w:val="36"/>
          <w:szCs w:val="36"/>
        </w:rPr>
        <w:t>工会中心服务配套项目</w:t>
      </w:r>
      <w:r>
        <w:rPr>
          <w:rFonts w:ascii="Times New Roman" w:hAnsi="Times New Roman" w:cs="Times New Roman" w:eastAsiaTheme="majorEastAsia"/>
          <w:sz w:val="36"/>
          <w:szCs w:val="36"/>
        </w:rPr>
        <w:t>自评结果</w:t>
      </w:r>
    </w:p>
    <w:p>
      <w:pPr>
        <w:pStyle w:val="8"/>
        <w:shd w:val="clear" w:color="auto" w:fill="FFFFFF" w:themeFill="background1"/>
        <w:spacing w:line="560" w:lineRule="exact"/>
        <w:ind w:firstLine="0" w:firstLineChars="0"/>
        <w:jc w:val="center"/>
        <w:outlineLvl w:val="9"/>
      </w:pPr>
      <w:r>
        <w:rPr>
          <w:rFonts w:hint="eastAsia" w:ascii="楷体" w:hAnsi="楷体" w:eastAsia="楷体" w:cs="楷体"/>
          <w:b/>
          <w:sz w:val="32"/>
        </w:rPr>
        <w:t>（缩略版）</w:t>
      </w:r>
    </w:p>
    <w:p>
      <w:pPr>
        <w:widowControl/>
        <w:spacing w:line="560" w:lineRule="exact"/>
        <w:ind w:firstLine="643" w:firstLineChars="200"/>
        <w:outlineLvl w:val="0"/>
        <w:rPr>
          <w:rFonts w:eastAsia="宋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一、自评结论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（一）自评得分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2022年度工会中心服务配套项目绩效评价综合得</w:t>
      </w:r>
      <w:r>
        <w:rPr>
          <w:rFonts w:eastAsia="仿宋"/>
          <w:sz w:val="32"/>
          <w:szCs w:val="32"/>
        </w:rPr>
        <w:t>分为</w:t>
      </w:r>
      <w:r>
        <w:rPr>
          <w:rFonts w:hint="eastAsia" w:eastAsia="仿宋"/>
          <w:sz w:val="32"/>
          <w:szCs w:val="32"/>
        </w:rPr>
        <w:t>9</w:t>
      </w:r>
      <w:r>
        <w:rPr>
          <w:rFonts w:hint="eastAsia" w:eastAsia="仿宋"/>
          <w:sz w:val="32"/>
          <w:szCs w:val="32"/>
          <w:lang w:val="en-US" w:eastAsia="zh-CN"/>
        </w:rPr>
        <w:t>0.9</w:t>
      </w:r>
      <w:r>
        <w:rPr>
          <w:rFonts w:eastAsia="仿宋"/>
          <w:sz w:val="32"/>
          <w:szCs w:val="32"/>
        </w:rPr>
        <w:t>分。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（二）绩效目标完成情况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1.执行率情况。本项目预算总额</w:t>
      </w:r>
      <w:r>
        <w:rPr>
          <w:rFonts w:hint="eastAsia" w:eastAsia="仿宋"/>
          <w:sz w:val="32"/>
          <w:szCs w:val="32"/>
        </w:rPr>
        <w:t>1,046.10</w:t>
      </w:r>
      <w:r>
        <w:rPr>
          <w:rFonts w:eastAsia="仿宋"/>
          <w:sz w:val="32"/>
          <w:szCs w:val="32"/>
        </w:rPr>
        <w:t>万元，执行数</w:t>
      </w:r>
      <w:r>
        <w:rPr>
          <w:rFonts w:hint="eastAsia" w:eastAsia="仿宋"/>
          <w:sz w:val="32"/>
          <w:szCs w:val="32"/>
        </w:rPr>
        <w:t xml:space="preserve">571.80 </w:t>
      </w:r>
      <w:r>
        <w:rPr>
          <w:rFonts w:eastAsia="仿宋"/>
          <w:sz w:val="32"/>
          <w:szCs w:val="32"/>
        </w:rPr>
        <w:t>万元，预算执行率</w:t>
      </w:r>
      <w:r>
        <w:rPr>
          <w:rFonts w:hint="eastAsia" w:eastAsia="仿宋"/>
          <w:sz w:val="32"/>
          <w:szCs w:val="32"/>
          <w:lang w:val="en-US" w:eastAsia="zh-CN"/>
        </w:rPr>
        <w:t>54.66%</w:t>
      </w:r>
      <w:r>
        <w:rPr>
          <w:rFonts w:eastAsia="仿宋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2.完成的绩效目标。项目共设置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个绩效指标，完成了</w:t>
      </w:r>
      <w:r>
        <w:rPr>
          <w:rFonts w:hint="eastAsia" w:eastAsia="仿宋"/>
          <w:sz w:val="32"/>
          <w:szCs w:val="32"/>
          <w:lang w:val="en-US" w:eastAsia="zh-CN"/>
        </w:rPr>
        <w:t>10</w:t>
      </w:r>
      <w:r>
        <w:rPr>
          <w:rFonts w:eastAsia="仿宋"/>
          <w:sz w:val="32"/>
          <w:szCs w:val="32"/>
        </w:rPr>
        <w:t>个。项目产出较好，并取得了较好的社会效益。</w:t>
      </w:r>
    </w:p>
    <w:p>
      <w:pPr>
        <w:widowControl/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3.未完成的绩效目标。</w:t>
      </w:r>
      <w:r>
        <w:rPr>
          <w:rFonts w:hint="eastAsia" w:eastAsia="仿宋"/>
          <w:sz w:val="32"/>
          <w:szCs w:val="32"/>
          <w:lang w:val="en-US" w:eastAsia="zh-CN"/>
        </w:rPr>
        <w:t>无</w:t>
      </w:r>
      <w:r>
        <w:rPr>
          <w:rFonts w:eastAsia="仿宋"/>
          <w:sz w:val="32"/>
          <w:szCs w:val="32"/>
        </w:rPr>
        <w:t>未完成的绩效目标</w:t>
      </w:r>
      <w:r>
        <w:rPr>
          <w:rFonts w:hint="eastAsia" w:eastAsia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（三）存在的问题和原因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1.上年度绩效评价结果应用情况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2022年为</w:t>
      </w:r>
      <w:r>
        <w:rPr>
          <w:rFonts w:hint="eastAsia" w:eastAsia="仿宋"/>
          <w:sz w:val="32"/>
          <w:szCs w:val="32"/>
        </w:rPr>
        <w:t>本项目</w:t>
      </w:r>
      <w:r>
        <w:rPr>
          <w:rFonts w:hint="eastAsia" w:eastAsia="仿宋"/>
          <w:sz w:val="32"/>
          <w:szCs w:val="32"/>
          <w:lang w:val="en-US" w:eastAsia="zh-CN"/>
        </w:rPr>
        <w:t>第一个预算年度</w:t>
      </w:r>
      <w:r>
        <w:rPr>
          <w:rFonts w:hint="eastAsia"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  <w:lang w:val="en-US" w:eastAsia="zh-CN"/>
        </w:rPr>
        <w:t>无需要应用的</w:t>
      </w:r>
      <w:r>
        <w:rPr>
          <w:rFonts w:hint="eastAsia" w:eastAsia="仿宋"/>
          <w:sz w:val="32"/>
          <w:szCs w:val="32"/>
        </w:rPr>
        <w:t>上年度绩效自评结果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2.本年度绩效存在的问题和原因</w:t>
      </w:r>
      <w:r>
        <w:rPr>
          <w:rFonts w:hint="eastAsia" w:eastAsia="仿宋"/>
          <w:b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>
      <w:pPr>
        <w:widowControl/>
        <w:spacing w:line="560" w:lineRule="exact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</w:rPr>
        <w:t>（1）项目预算执行率一般，主要原因是2022年财政局较前年提前一个月关库，所有指标被收回，故本年度收入支出减少</w:t>
      </w:r>
      <w:r>
        <w:rPr>
          <w:rFonts w:hint="eastAsia" w:eastAsia="仿宋"/>
          <w:sz w:val="32"/>
          <w:szCs w:val="32"/>
          <w:lang w:val="en-US"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  <w:lang w:val="en-US" w:eastAsia="zh-CN"/>
        </w:rPr>
        <w:t>年初未申报项目年度绩效目标，不便于项目绩效目标考核。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（四）下一步拟改进措施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1.下一步拟改进措施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（1）针对项目预算执行率一般的问题，按项目实施进度及时支付资金，增加请款频率，提高财政资金利用效率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下一年度针对应完成的项目内容，在年初设置年度绩效目标，便于项目绩效考核</w:t>
      </w:r>
      <w:r>
        <w:rPr>
          <w:rFonts w:hint="eastAsia" w:ascii="仿宋" w:hAnsi="仿宋" w:eastAsia="仿宋" w:cs="仿宋"/>
          <w:color w:val="000000" w:themeColor="text1"/>
          <w:spacing w:val="-6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附件：</w:t>
      </w:r>
      <w:r>
        <w:rPr>
          <w:rFonts w:hint="eastAsia" w:eastAsia="楷体"/>
          <w:sz w:val="32"/>
          <w:szCs w:val="32"/>
          <w:lang w:eastAsia="zh-CN"/>
        </w:rPr>
        <w:t>工会中心服务配套项目</w:t>
      </w:r>
      <w:r>
        <w:rPr>
          <w:rFonts w:eastAsia="楷体"/>
          <w:sz w:val="32"/>
          <w:szCs w:val="32"/>
        </w:rPr>
        <w:t>自评表</w:t>
      </w:r>
    </w:p>
    <w:p>
      <w:pPr>
        <w:widowControl/>
        <w:spacing w:line="560" w:lineRule="exact"/>
        <w:ind w:firstLine="640" w:firstLineChars="200"/>
        <w:rPr>
          <w:rFonts w:eastAsia="楷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pStyle w:val="2"/>
        <w:spacing w:after="0"/>
        <w:ind w:firstLine="643" w:firstLineChars="200"/>
        <w:rPr>
          <w:rFonts w:eastAsia="楷体"/>
          <w:b/>
          <w:bCs/>
        </w:rPr>
      </w:pPr>
      <w:r>
        <w:rPr>
          <w:rFonts w:hint="eastAsia" w:eastAsia="楷体"/>
          <w:b/>
          <w:bCs/>
          <w:color w:val="000000"/>
          <w:kern w:val="0"/>
          <w:sz w:val="32"/>
          <w:szCs w:val="32"/>
        </w:rPr>
        <w:t>附件：</w:t>
      </w:r>
    </w:p>
    <w:p>
      <w:pPr>
        <w:pStyle w:val="2"/>
      </w:pPr>
    </w:p>
    <w:tbl>
      <w:tblPr>
        <w:tblStyle w:val="9"/>
        <w:tblW w:w="539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77"/>
        <w:gridCol w:w="1067"/>
        <w:gridCol w:w="1832"/>
        <w:gridCol w:w="1668"/>
        <w:gridCol w:w="1758"/>
        <w:gridCol w:w="17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2022年度工会中心服务配套项目自评表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单位名称：武汉经济技术开发区（汉南区）住房和城乡建设局                 填报日期：2023年4月20日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工会中心服务配套项目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48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武汉经济技术开发区（汉南区）住房和城乡建设局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78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武汉市汤湖公园管理处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1.部门预算项目    </w:t>
            </w:r>
            <w:r>
              <w:rPr>
                <w:rFonts w:hint="default" w:ascii="Wingdings 2" w:hAnsi="Wingdings 2" w:eastAsia="Wingdings 2" w:cs="Wingdings 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2.财政专项资金   </w:t>
            </w:r>
            <w:r>
              <w:rPr>
                <w:rFonts w:hint="default" w:ascii="Wingdings 2" w:hAnsi="Wingdings 2" w:eastAsia="Wingdings 2" w:cs="Wingdings 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1.持续性项目      </w:t>
            </w:r>
            <w:r>
              <w:rPr>
                <w:rFonts w:ascii="Wingdings" w:hAnsi="Wingdings" w:eastAsia="仿宋" w:cs="Wingdings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2.新增性项目 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1.常年性项目      </w:t>
            </w:r>
            <w:r>
              <w:rPr>
                <w:rFonts w:hint="default" w:ascii="Wingdings 2" w:hAnsi="Wingdings 2" w:eastAsia="Wingdings 2" w:cs="Wingdings 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2.延续性项目     </w:t>
            </w:r>
            <w:r>
              <w:rPr>
                <w:rFonts w:hint="default" w:ascii="Wingdings 2" w:hAnsi="Wingdings 2" w:eastAsia="Wingdings 2" w:cs="Wingdings 2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3.一次性项目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预算执行情况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5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执行率(B/A)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(20分*执行率)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7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1,046.10 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571.80 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54.66%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（70分）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前期规划方案的设计、论证及优化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发改初设批复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组织工程招投标或政府采购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程序合规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程序合规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规划审批及其他相关行政、技术审批手续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依法取得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依法取得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施工质量、进度、成本进行控制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到位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到位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及时开工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工程款、人防易地建设费等相关费用支付及时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及时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市民投诉</w:t>
            </w:r>
          </w:p>
        </w:tc>
        <w:tc>
          <w:tcPr>
            <w:tcW w:w="8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0件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0件</w:t>
            </w:r>
          </w:p>
        </w:tc>
        <w:tc>
          <w:tcPr>
            <w:tcW w:w="8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4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90.9分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偏差大或目标未完成原因分析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1.项目预算执行率一般，主要原因是2022年财政局较前年提前一个月关库，所有指标被收回，故本年度收入支出减少；其余绩效目标完成情况较好。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87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改进措施及结果应用方案</w:t>
            </w:r>
          </w:p>
        </w:tc>
        <w:tc>
          <w:tcPr>
            <w:tcW w:w="41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1.针对项目预算执行率一般的问题，按项目实施进度及时支付资金，增加请款频率，提高财政资金利用效率；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2.下一年度针对应完成的项目内容，在年初设置绩效目标，便于项目绩效考核。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1.预算执行情况口径：预算数为调整后财政资金总额（包括上年结转余额），执行数为资金使用单位财政资金实际支出数。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＞X，得分=权重B/A）,反向指标（即目标值为≤X，得分=权重A/B）,得分不得突破权重总额。定量指标先汇总完成数，再计算得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（含80%）、80-50（50%）、50-0%合理确定分值。汇总时，以资金额度为权重，对分值进行加权平均计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5000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sectPr>
          <w:pgSz w:w="11906" w:h="16838"/>
          <w:pgMar w:top="2098" w:right="1474" w:bottom="1984" w:left="1587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560" w:lineRule="exact"/>
        <w:ind w:firstLine="643" w:firstLineChars="200"/>
        <w:outlineLvl w:val="0"/>
        <w:rPr>
          <w:rFonts w:eastAsia="黑体"/>
          <w:b/>
          <w:bCs/>
          <w:color w:val="000000"/>
          <w:kern w:val="0"/>
          <w:sz w:val="32"/>
          <w:szCs w:val="32"/>
        </w:rPr>
      </w:pPr>
      <w:r>
        <w:rPr>
          <w:rFonts w:eastAsia="黑体"/>
          <w:b/>
          <w:bCs/>
          <w:color w:val="000000"/>
          <w:kern w:val="0"/>
          <w:sz w:val="32"/>
          <w:szCs w:val="32"/>
        </w:rPr>
        <w:t>二、佐证材料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（一）基本情况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1.项目立项目的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主要用于新建工会服务中心，工会服务中心项目建筑占地面积2369.06平方米，总建筑面积4099.88平方米，同步建设给排水、电气、暖通、消防等配套工程、室外管网、道路、绿化等室外工程。项目总投资概算为2551.13万元，其中工程费用1931.11万元，工程建设其</w:t>
      </w:r>
      <w:bookmarkStart w:id="1" w:name="_GoBack"/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他费312.44万元，预备费112.18万元，专项工程费195.40万元。项目资金来源为区财政资金。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2.年度绩效目标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关于批复武汉市汤湖公园管理处2022年预算的函》，工会中心服务配套项目年初未申报绩效目标，本次绩效自评根据2022年应完成项目内容，设置如下绩效目标：完成前期规划方案的设计、论证及优化，完成发改初设批复，工程招投标或政府采购程序合规，完成规划审批及其他相关行政、技术审批手续，施工质量、进度、成本进行控制到位，及时开工，工程款、人防易地建设费等相关费用支付及时，市民投诉0件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3.项目资金情况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2022年下达专项资金1,046.10万元</w:t>
      </w:r>
      <w:r>
        <w:rPr>
          <w:rFonts w:hint="eastAsia" w:ascii="仿宋" w:hAnsi="仿宋" w:eastAsia="仿宋" w:cs="仿宋"/>
          <w:sz w:val="32"/>
          <w:szCs w:val="32"/>
        </w:rPr>
        <w:t>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年本项目预算资金共计1,046.10万元。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宋体"/>
          <w:color w:val="000000"/>
          <w:kern w:val="0"/>
          <w:sz w:val="24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（二）部门自评工作开展情况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本次自评时间从202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日，历时2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天。自评工作程序如下：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（1）制定工作方案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部门自评工作方案由财务部门会同第三方机构共同研究制订。根据部门主要负责同志要求和武汉经济技术开发区（汉南区）财政局发布的</w:t>
      </w:r>
      <w:bookmarkStart w:id="0" w:name="_Hlk102643360"/>
      <w:r>
        <w:rPr>
          <w:rFonts w:hint="eastAsia" w:ascii="仿宋" w:hAnsi="仿宋" w:eastAsia="仿宋" w:cs="仿宋"/>
          <w:sz w:val="32"/>
          <w:szCs w:val="32"/>
        </w:rPr>
        <w:t>《关于开展 2023年预算绩效评价及项目支出绩效运行监控的通知》（武经开〔202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号）</w:t>
      </w:r>
      <w:bookmarkEnd w:id="0"/>
      <w:r>
        <w:rPr>
          <w:rFonts w:hint="eastAsia" w:ascii="仿宋" w:hAnsi="仿宋" w:eastAsia="仿宋" w:cs="仿宋"/>
          <w:sz w:val="32"/>
          <w:szCs w:val="32"/>
        </w:rPr>
        <w:t>启动部门项目自评工作。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（2）组织实施自评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（3）撰写部门自评项目结果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在整理分析基础上，形成部门项目自评结果。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（4）建立部门自评档案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部门项目自评结果按时报送财政部门备案并及时归档备查。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（三）绩效目标完成情况分析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1.预算执行情况分析（满分20分，得分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10.9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年实际到位资金1,046.10万元，资金到位率100%。实际支出资金571.80万元，预算执行率为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54.66%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</w:rPr>
        <w:t>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较低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outlineLvl w:val="2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>2.绩效目标完成情况分析（满分80分，得分</w:t>
      </w:r>
      <w:r>
        <w:rPr>
          <w:rFonts w:hint="eastAsia" w:eastAsia="仿宋"/>
          <w:b/>
          <w:sz w:val="32"/>
          <w:szCs w:val="32"/>
          <w:lang w:val="en-US" w:eastAsia="zh-CN"/>
        </w:rPr>
        <w:t>80</w:t>
      </w:r>
      <w:r>
        <w:rPr>
          <w:rFonts w:eastAsia="仿宋"/>
          <w:b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（1）产出指标完成情况分析（满分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①前期规划方案的设计、论证及优化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完成前期规划方案的设计、论证及优化。本项目由武汉车都集团有限公司负责完成项目前期规划方案的设计、论证及优化，项目最终已出具《汤湖公园服务中心建设项目初步设计评审咨询报告》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②发改初设批复：满分10分，得分10分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目标为完成发改初设批复。项目已于2021年3月15日取得《关于汤湖公园服务中心建设项目初步设计的批复》（武经开发改计〔2021〕45号），目标完成。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③工程招投标或政府采购：满分10分，得分10分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目标为工程招投标或政府采购程序合规。施工、设计、监理等按照要求开展招投标工作，程序合规，目标完成。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④规划审批及其他相关行政、技术审批手续：满分10分，得分10分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目标为依法取得规划审批及其他相关行政、技术审批手续。项目建设手续合规合法，已依法取得《应建防空地下室的民用建筑项目报建审批行政许可决定书》等行政许可，目标完成。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⑤施工质量、进度、成本进行控制：满分10分，得分10分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目标为施工质量、进度、成本进行控制到位。管理处已与武汉车都集团有限公司签订《汤湖公园服务中心项目管理委托合同》，工程质量符合相关技术规范，进度、成本控制到位，目标完成。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⑥及时开工：满分10分，得分10分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目标为及时开工。建设工程已于2022年按时开工，开工及时，目标完成。</w:t>
      </w:r>
    </w:p>
    <w:p>
      <w:pPr>
        <w:widowControl/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⑦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工程款、人防易地建设费等相关费用支付及时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工程款、人防易地建设费等相关费用支付及时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。在未考虑</w:t>
      </w:r>
      <w:r>
        <w:rPr>
          <w:rFonts w:hint="eastAsia" w:ascii="仿宋" w:hAnsi="仿宋" w:eastAsia="仿宋" w:cs="仿宋"/>
          <w:sz w:val="32"/>
          <w:szCs w:val="32"/>
        </w:rPr>
        <w:t>财政局提前关库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因素影响，建设单位已按照实施进度申请资金，项目资金支付及时。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</w:t>
      </w:r>
      <w:r>
        <w:rPr>
          <w:rFonts w:hint="eastAsia" w:ascii="仿宋" w:hAnsi="仿宋" w:eastAsia="仿宋" w:cs="仿宋"/>
          <w:sz w:val="32"/>
          <w:szCs w:val="32"/>
        </w:rPr>
        <w:t>指标完成情况分析（满分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分，得分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①市民投诉：满分10分，得分10分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目标为市民投诉0件。2022年项目建设过程中，未接到市民投诉，完成目标。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（四）上年度部门自评结果应用情况</w:t>
      </w:r>
    </w:p>
    <w:p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2022年为</w:t>
      </w:r>
      <w:r>
        <w:rPr>
          <w:rFonts w:hint="eastAsia" w:ascii="仿宋" w:hAnsi="仿宋" w:eastAsia="仿宋" w:cs="仿宋"/>
          <w:sz w:val="32"/>
          <w:szCs w:val="32"/>
        </w:rPr>
        <w:t>本项目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第一个预算年度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无需要应用的</w:t>
      </w:r>
      <w:r>
        <w:rPr>
          <w:rFonts w:hint="eastAsia" w:ascii="仿宋" w:hAnsi="仿宋" w:eastAsia="仿宋" w:cs="仿宋"/>
          <w:sz w:val="32"/>
          <w:szCs w:val="32"/>
        </w:rPr>
        <w:t>上年度绩效自评结果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3" w:firstLineChars="200"/>
        <w:jc w:val="left"/>
        <w:outlineLvl w:val="1"/>
        <w:rPr>
          <w:rFonts w:eastAsia="楷体"/>
          <w:b/>
          <w:bCs/>
          <w:color w:val="000000"/>
          <w:kern w:val="0"/>
          <w:sz w:val="32"/>
          <w:szCs w:val="32"/>
        </w:rPr>
      </w:pPr>
      <w:r>
        <w:rPr>
          <w:rFonts w:eastAsia="楷体"/>
          <w:b/>
          <w:bCs/>
          <w:color w:val="000000"/>
          <w:kern w:val="0"/>
          <w:sz w:val="32"/>
          <w:szCs w:val="32"/>
        </w:rPr>
        <w:t>（五）其他佐证材料</w:t>
      </w:r>
    </w:p>
    <w:p>
      <w:pPr>
        <w:widowControl/>
        <w:spacing w:line="56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eastAsia="仿宋"/>
          <w:sz w:val="32"/>
          <w:szCs w:val="32"/>
        </w:rPr>
        <w:t>无。</w:t>
      </w:r>
      <w:r>
        <w:rPr>
          <w:rFonts w:eastAsia="宋体"/>
          <w:color w:val="000000"/>
          <w:kern w:val="0"/>
          <w:sz w:val="24"/>
        </w:rPr>
        <w:t xml:space="preserve">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</w:t>
      </w:r>
    </w:p>
    <w:p>
      <w:pPr>
        <w:widowControl/>
        <w:spacing w:line="500" w:lineRule="exact"/>
        <w:ind w:firstLine="640" w:firstLineChars="200"/>
        <w:jc w:val="right"/>
        <w:rPr>
          <w:rFonts w:hint="eastAsia" w:eastAsia="仿宋"/>
          <w:sz w:val="32"/>
          <w:szCs w:val="32"/>
          <w:lang w:eastAsia="zh-CN"/>
        </w:rPr>
      </w:pPr>
    </w:p>
    <w:p>
      <w:pPr>
        <w:widowControl/>
        <w:spacing w:line="500" w:lineRule="exact"/>
        <w:ind w:firstLine="640" w:firstLineChars="200"/>
        <w:jc w:val="right"/>
        <w:rPr>
          <w:rFonts w:hint="eastAsia" w:eastAsia="仿宋"/>
          <w:sz w:val="32"/>
          <w:szCs w:val="32"/>
          <w:lang w:eastAsia="zh-CN"/>
        </w:rPr>
      </w:pPr>
      <w:r>
        <w:rPr>
          <w:rFonts w:hint="eastAsia" w:eastAsia="仿宋"/>
          <w:sz w:val="32"/>
          <w:szCs w:val="32"/>
          <w:lang w:eastAsia="zh-CN"/>
        </w:rPr>
        <w:t>武汉经济技术开发区（汉南区）住房和城乡建设局</w:t>
      </w:r>
    </w:p>
    <w:p>
      <w:pPr>
        <w:widowControl/>
        <w:spacing w:line="500" w:lineRule="exact"/>
        <w:ind w:firstLine="640" w:firstLineChars="200"/>
        <w:rPr>
          <w:rFonts w:eastAsia="宋体"/>
          <w:color w:val="000000"/>
          <w:kern w:val="0"/>
          <w:sz w:val="24"/>
        </w:rPr>
      </w:pPr>
      <w:r>
        <w:rPr>
          <w:rFonts w:hint="eastAsia" w:eastAsia="仿宋"/>
          <w:sz w:val="32"/>
          <w:szCs w:val="32"/>
        </w:rPr>
        <w:t xml:space="preserve">                    </w:t>
      </w:r>
      <w:r>
        <w:rPr>
          <w:rFonts w:hint="eastAsia" w:eastAsia="宋体"/>
          <w:color w:val="000000"/>
          <w:kern w:val="0"/>
          <w:sz w:val="24"/>
        </w:rPr>
        <w:t xml:space="preserve">    </w:t>
      </w:r>
      <w:r>
        <w:rPr>
          <w:rFonts w:eastAsia="宋体"/>
          <w:color w:val="000000"/>
          <w:kern w:val="0"/>
          <w:sz w:val="24"/>
        </w:rPr>
        <w:t xml:space="preserve">            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 xml:space="preserve"> 202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年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  <w:lang w:val="en-US" w:eastAsia="zh-CN"/>
        </w:rPr>
        <w:t>20</w:t>
      </w:r>
      <w:r>
        <w:rPr>
          <w:rFonts w:eastAsia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12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ZmMDYwYzNjNzI5ODA4ZmI0NjA1NjA5YTYyZmQ3NTgifQ=="/>
  </w:docVars>
  <w:rsids>
    <w:rsidRoot w:val="00F57F82"/>
    <w:rsid w:val="000101E1"/>
    <w:rsid w:val="00020084"/>
    <w:rsid w:val="00057FFB"/>
    <w:rsid w:val="000732DA"/>
    <w:rsid w:val="00075CDC"/>
    <w:rsid w:val="000B1E8F"/>
    <w:rsid w:val="000E3FC3"/>
    <w:rsid w:val="000E5FBA"/>
    <w:rsid w:val="000F5302"/>
    <w:rsid w:val="00103574"/>
    <w:rsid w:val="00103D16"/>
    <w:rsid w:val="00115B6A"/>
    <w:rsid w:val="00121C7C"/>
    <w:rsid w:val="00164D84"/>
    <w:rsid w:val="001C5A40"/>
    <w:rsid w:val="001D628A"/>
    <w:rsid w:val="001E4260"/>
    <w:rsid w:val="00203D57"/>
    <w:rsid w:val="00250053"/>
    <w:rsid w:val="00287C3C"/>
    <w:rsid w:val="002C6A3B"/>
    <w:rsid w:val="002F629B"/>
    <w:rsid w:val="00332F8B"/>
    <w:rsid w:val="0035287C"/>
    <w:rsid w:val="003829C8"/>
    <w:rsid w:val="0039432D"/>
    <w:rsid w:val="003A26A2"/>
    <w:rsid w:val="003C6374"/>
    <w:rsid w:val="00414ED7"/>
    <w:rsid w:val="00415F7C"/>
    <w:rsid w:val="004220C5"/>
    <w:rsid w:val="004531B5"/>
    <w:rsid w:val="004C1EAA"/>
    <w:rsid w:val="00512544"/>
    <w:rsid w:val="005D07CE"/>
    <w:rsid w:val="005D3818"/>
    <w:rsid w:val="00664719"/>
    <w:rsid w:val="00696090"/>
    <w:rsid w:val="006A453E"/>
    <w:rsid w:val="006B653B"/>
    <w:rsid w:val="006C117B"/>
    <w:rsid w:val="007553C7"/>
    <w:rsid w:val="00785AF7"/>
    <w:rsid w:val="007A1DC2"/>
    <w:rsid w:val="007C119C"/>
    <w:rsid w:val="007D7B7E"/>
    <w:rsid w:val="008271A8"/>
    <w:rsid w:val="00883725"/>
    <w:rsid w:val="00895183"/>
    <w:rsid w:val="008A20F2"/>
    <w:rsid w:val="008B50FA"/>
    <w:rsid w:val="008F74D5"/>
    <w:rsid w:val="009D04D8"/>
    <w:rsid w:val="009F652F"/>
    <w:rsid w:val="00A32FDD"/>
    <w:rsid w:val="00A72CA8"/>
    <w:rsid w:val="00AA2B82"/>
    <w:rsid w:val="00AC315F"/>
    <w:rsid w:val="00BA14B8"/>
    <w:rsid w:val="00BA262C"/>
    <w:rsid w:val="00BA347B"/>
    <w:rsid w:val="00C95A35"/>
    <w:rsid w:val="00CC152C"/>
    <w:rsid w:val="00CD5DD9"/>
    <w:rsid w:val="00CF2199"/>
    <w:rsid w:val="00D63908"/>
    <w:rsid w:val="00DA29F4"/>
    <w:rsid w:val="00DD09A2"/>
    <w:rsid w:val="00DD16E3"/>
    <w:rsid w:val="00DE2F6A"/>
    <w:rsid w:val="00E005A8"/>
    <w:rsid w:val="00E02E05"/>
    <w:rsid w:val="00E54B40"/>
    <w:rsid w:val="00E74336"/>
    <w:rsid w:val="00EC2181"/>
    <w:rsid w:val="00EC34E0"/>
    <w:rsid w:val="00ED6D53"/>
    <w:rsid w:val="00EE6F1A"/>
    <w:rsid w:val="00F10473"/>
    <w:rsid w:val="00F437B4"/>
    <w:rsid w:val="00F57F82"/>
    <w:rsid w:val="00F75963"/>
    <w:rsid w:val="00F81D36"/>
    <w:rsid w:val="00FA357A"/>
    <w:rsid w:val="00FF2111"/>
    <w:rsid w:val="01745D0A"/>
    <w:rsid w:val="01FF3C7D"/>
    <w:rsid w:val="0224362A"/>
    <w:rsid w:val="02C86339"/>
    <w:rsid w:val="03623055"/>
    <w:rsid w:val="036C0046"/>
    <w:rsid w:val="037D0BC8"/>
    <w:rsid w:val="03CB0C86"/>
    <w:rsid w:val="04613167"/>
    <w:rsid w:val="04673CA2"/>
    <w:rsid w:val="050163A6"/>
    <w:rsid w:val="07E640F0"/>
    <w:rsid w:val="0845082D"/>
    <w:rsid w:val="091F4B4B"/>
    <w:rsid w:val="094115EA"/>
    <w:rsid w:val="096A663E"/>
    <w:rsid w:val="09E965F2"/>
    <w:rsid w:val="0A130CF6"/>
    <w:rsid w:val="0A87714B"/>
    <w:rsid w:val="0AA2532E"/>
    <w:rsid w:val="0CBF575D"/>
    <w:rsid w:val="0D1923E6"/>
    <w:rsid w:val="0D660F6F"/>
    <w:rsid w:val="0ECA2EFA"/>
    <w:rsid w:val="0F9652C0"/>
    <w:rsid w:val="0FB370D5"/>
    <w:rsid w:val="0FD13D36"/>
    <w:rsid w:val="0FEA60B6"/>
    <w:rsid w:val="10426B40"/>
    <w:rsid w:val="10DB57E4"/>
    <w:rsid w:val="113118BF"/>
    <w:rsid w:val="11D7196B"/>
    <w:rsid w:val="130E2450"/>
    <w:rsid w:val="13141499"/>
    <w:rsid w:val="13511532"/>
    <w:rsid w:val="139840D3"/>
    <w:rsid w:val="143E091F"/>
    <w:rsid w:val="14865FC8"/>
    <w:rsid w:val="150C2DB0"/>
    <w:rsid w:val="154928C9"/>
    <w:rsid w:val="15DB39EC"/>
    <w:rsid w:val="17C34C75"/>
    <w:rsid w:val="17F906DA"/>
    <w:rsid w:val="1B515EE3"/>
    <w:rsid w:val="1BB80B76"/>
    <w:rsid w:val="1C125FA5"/>
    <w:rsid w:val="1C893E9E"/>
    <w:rsid w:val="1CE94882"/>
    <w:rsid w:val="1D436783"/>
    <w:rsid w:val="1DD7559C"/>
    <w:rsid w:val="1E3F631C"/>
    <w:rsid w:val="1E761F05"/>
    <w:rsid w:val="1EB85DB8"/>
    <w:rsid w:val="1F7F7BAF"/>
    <w:rsid w:val="1FC7205C"/>
    <w:rsid w:val="20522F58"/>
    <w:rsid w:val="211537CA"/>
    <w:rsid w:val="21167BF2"/>
    <w:rsid w:val="21632834"/>
    <w:rsid w:val="219D6ED7"/>
    <w:rsid w:val="21EB43A1"/>
    <w:rsid w:val="226263B1"/>
    <w:rsid w:val="228B3D05"/>
    <w:rsid w:val="23A14683"/>
    <w:rsid w:val="24822003"/>
    <w:rsid w:val="24E4263B"/>
    <w:rsid w:val="27125C45"/>
    <w:rsid w:val="276E7926"/>
    <w:rsid w:val="27AB4F08"/>
    <w:rsid w:val="286D5E37"/>
    <w:rsid w:val="28981D0D"/>
    <w:rsid w:val="2AC72633"/>
    <w:rsid w:val="2BB703D7"/>
    <w:rsid w:val="2C11353F"/>
    <w:rsid w:val="2DD9710F"/>
    <w:rsid w:val="2DF34CC0"/>
    <w:rsid w:val="2ED95618"/>
    <w:rsid w:val="2F794830"/>
    <w:rsid w:val="3381719A"/>
    <w:rsid w:val="34AE5749"/>
    <w:rsid w:val="35EE40A0"/>
    <w:rsid w:val="36706CCC"/>
    <w:rsid w:val="36873BAC"/>
    <w:rsid w:val="37C877E9"/>
    <w:rsid w:val="37D73658"/>
    <w:rsid w:val="38EF7AD8"/>
    <w:rsid w:val="391179DE"/>
    <w:rsid w:val="391752D6"/>
    <w:rsid w:val="399E4497"/>
    <w:rsid w:val="3ABA294C"/>
    <w:rsid w:val="3AC26D8D"/>
    <w:rsid w:val="3AD60F72"/>
    <w:rsid w:val="3BF177F6"/>
    <w:rsid w:val="3CA70864"/>
    <w:rsid w:val="3DD6679A"/>
    <w:rsid w:val="3DE04E95"/>
    <w:rsid w:val="3E1672E6"/>
    <w:rsid w:val="3E1F211D"/>
    <w:rsid w:val="3E5533F0"/>
    <w:rsid w:val="3EB77C2B"/>
    <w:rsid w:val="3EE947C1"/>
    <w:rsid w:val="40453787"/>
    <w:rsid w:val="415F08D8"/>
    <w:rsid w:val="433B52D2"/>
    <w:rsid w:val="434010BE"/>
    <w:rsid w:val="43512B3E"/>
    <w:rsid w:val="43E2616B"/>
    <w:rsid w:val="44020591"/>
    <w:rsid w:val="4404698F"/>
    <w:rsid w:val="44A95196"/>
    <w:rsid w:val="44D51F86"/>
    <w:rsid w:val="44DC6F9E"/>
    <w:rsid w:val="44E2230F"/>
    <w:rsid w:val="44FA5404"/>
    <w:rsid w:val="4549266A"/>
    <w:rsid w:val="45DD6BEA"/>
    <w:rsid w:val="461B3DFB"/>
    <w:rsid w:val="463449F1"/>
    <w:rsid w:val="46E206AE"/>
    <w:rsid w:val="46F9107C"/>
    <w:rsid w:val="473A7631"/>
    <w:rsid w:val="47A12944"/>
    <w:rsid w:val="48724017"/>
    <w:rsid w:val="488641E0"/>
    <w:rsid w:val="48A81481"/>
    <w:rsid w:val="48B51347"/>
    <w:rsid w:val="4A55216A"/>
    <w:rsid w:val="4AA8027E"/>
    <w:rsid w:val="4AAE000A"/>
    <w:rsid w:val="4D43140C"/>
    <w:rsid w:val="4D4F4973"/>
    <w:rsid w:val="4F7E7282"/>
    <w:rsid w:val="4FE0696A"/>
    <w:rsid w:val="50152EF0"/>
    <w:rsid w:val="505A5310"/>
    <w:rsid w:val="51FD19E1"/>
    <w:rsid w:val="52C0009F"/>
    <w:rsid w:val="537A2BFE"/>
    <w:rsid w:val="5408455A"/>
    <w:rsid w:val="54B70621"/>
    <w:rsid w:val="555808E9"/>
    <w:rsid w:val="55673508"/>
    <w:rsid w:val="55D05801"/>
    <w:rsid w:val="56725657"/>
    <w:rsid w:val="568F468B"/>
    <w:rsid w:val="572B5492"/>
    <w:rsid w:val="58195F6E"/>
    <w:rsid w:val="58587667"/>
    <w:rsid w:val="59595A6F"/>
    <w:rsid w:val="599330CA"/>
    <w:rsid w:val="5A3A2B60"/>
    <w:rsid w:val="5A4237C2"/>
    <w:rsid w:val="5A4C3EF6"/>
    <w:rsid w:val="5B0D23FC"/>
    <w:rsid w:val="5B880ADD"/>
    <w:rsid w:val="5BB856CC"/>
    <w:rsid w:val="5D444098"/>
    <w:rsid w:val="5DB076C2"/>
    <w:rsid w:val="5E367F56"/>
    <w:rsid w:val="5EE51B13"/>
    <w:rsid w:val="5F4015DE"/>
    <w:rsid w:val="608D4B02"/>
    <w:rsid w:val="60D5009F"/>
    <w:rsid w:val="63DF1591"/>
    <w:rsid w:val="65D630D8"/>
    <w:rsid w:val="660721C9"/>
    <w:rsid w:val="661E6C75"/>
    <w:rsid w:val="66231D0E"/>
    <w:rsid w:val="67F75FF5"/>
    <w:rsid w:val="681D4831"/>
    <w:rsid w:val="692E4B19"/>
    <w:rsid w:val="69513EF7"/>
    <w:rsid w:val="69BE2A6F"/>
    <w:rsid w:val="69EC374B"/>
    <w:rsid w:val="6BF3256F"/>
    <w:rsid w:val="6CE7018A"/>
    <w:rsid w:val="6DC47D48"/>
    <w:rsid w:val="6E3E3F2D"/>
    <w:rsid w:val="715B2F02"/>
    <w:rsid w:val="7281713A"/>
    <w:rsid w:val="7400407A"/>
    <w:rsid w:val="74292DBE"/>
    <w:rsid w:val="76436B85"/>
    <w:rsid w:val="76834D9A"/>
    <w:rsid w:val="76A548F2"/>
    <w:rsid w:val="7765772E"/>
    <w:rsid w:val="77867685"/>
    <w:rsid w:val="77F04540"/>
    <w:rsid w:val="781F36B6"/>
    <w:rsid w:val="790627AD"/>
    <w:rsid w:val="7A5069D3"/>
    <w:rsid w:val="7A70083D"/>
    <w:rsid w:val="7ADC59FA"/>
    <w:rsid w:val="7BB3305E"/>
    <w:rsid w:val="7BDC27DF"/>
    <w:rsid w:val="7C0D7572"/>
    <w:rsid w:val="7D156A68"/>
    <w:rsid w:val="7D480840"/>
    <w:rsid w:val="7D5758E6"/>
    <w:rsid w:val="7DDD794F"/>
    <w:rsid w:val="7E316F0A"/>
    <w:rsid w:val="7ED54CA7"/>
    <w:rsid w:val="7F32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5"/>
    <w:basedOn w:val="1"/>
    <w:next w:val="1"/>
    <w:qFormat/>
    <w:uiPriority w:val="0"/>
    <w:pPr>
      <w:keepNext/>
      <w:outlineLvl w:val="4"/>
    </w:pPr>
    <w:rPr>
      <w:rFonts w:ascii="宋体" w:hAnsi="宋体" w:cs="宋体"/>
      <w:b/>
      <w:bCs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10"/>
    <w:pPr>
      <w:spacing w:line="360" w:lineRule="auto"/>
      <w:ind w:firstLine="200" w:firstLineChars="200"/>
      <w:jc w:val="left"/>
      <w:outlineLvl w:val="3"/>
    </w:pPr>
    <w:rPr>
      <w:rFonts w:ascii="Cambria" w:hAnsi="Cambria"/>
      <w:bCs/>
      <w:sz w:val="24"/>
      <w:szCs w:val="32"/>
    </w:rPr>
  </w:style>
  <w:style w:type="character" w:styleId="11">
    <w:name w:val="page number"/>
    <w:basedOn w:val="10"/>
    <w:qFormat/>
    <w:uiPriority w:val="0"/>
  </w:style>
  <w:style w:type="character" w:customStyle="1" w:styleId="12">
    <w:name w:val="页脚 字符"/>
    <w:basedOn w:val="10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0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0"/>
    <w:link w:val="4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font3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2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8">
    <w:name w:val="font51"/>
    <w:basedOn w:val="10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19">
    <w:name w:val="font91"/>
    <w:basedOn w:val="1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1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1">
    <w:name w:val="font7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2">
    <w:name w:val="font1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3">
    <w:name w:val="font6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25">
    <w:name w:val="font121"/>
    <w:basedOn w:val="10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26">
    <w:name w:val="font131"/>
    <w:basedOn w:val="10"/>
    <w:qFormat/>
    <w:uiPriority w:val="0"/>
    <w:rPr>
      <w:rFonts w:hint="default" w:ascii="Wingdings 2" w:hAnsi="Wingdings 2" w:eastAsia="Wingdings 2" w:cs="Wingdings 2"/>
      <w:b/>
      <w:bCs/>
      <w:color w:val="000000"/>
      <w:sz w:val="20"/>
      <w:szCs w:val="20"/>
      <w:u w:val="none"/>
    </w:rPr>
  </w:style>
  <w:style w:type="character" w:customStyle="1" w:styleId="27">
    <w:name w:val="font81"/>
    <w:basedOn w:val="10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8">
    <w:name w:val="font01"/>
    <w:basedOn w:val="10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29">
    <w:name w:val="font14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3031</Words>
  <Characters>3316</Characters>
  <Lines>6</Lines>
  <Paragraphs>10</Paragraphs>
  <TotalTime>8</TotalTime>
  <ScaleCrop>false</ScaleCrop>
  <LinksUpToDate>false</LinksUpToDate>
  <CharactersWithSpaces>3584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2021-02-26T14:13:00Z</dcterms:created>
  <dc:creator>lhn</dc:creator>
  <cp:lastModifiedBy>长了毛的面包</cp:lastModifiedBy>
  <cp:lastPrinted>2020-12-04T01:52:00Z</cp:lastPrinted>
  <dcterms:modified xsi:type="dcterms:W3CDTF">2023-04-26T07:36:01Z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A1C6F6DCA77E46D4BF05062161E5DD11</vt:lpwstr>
  </property>
</Properties>
</file>